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C8C" w:rsidRDefault="00D860CC">
      <w:pPr>
        <w:spacing w:line="240" w:lineRule="auto"/>
        <w:jc w:val="right"/>
      </w:pPr>
      <w:r>
        <w:rPr>
          <w:rFonts w:ascii="Times New Roman" w:eastAsia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 w:cs="Corbel"/>
          <w:b/>
          <w:bCs/>
        </w:rPr>
        <w:tab/>
      </w:r>
      <w:r>
        <w:rPr>
          <w:rFonts w:ascii="Corbel" w:hAnsi="Corbel" w:cs="Corbel"/>
          <w:bCs/>
          <w:i/>
          <w:highlight w:val="yellow"/>
        </w:rPr>
        <w:t>Załącznik nr 1.5 do Zarządzenia Rektora UR  nr 7/2023</w:t>
      </w:r>
    </w:p>
    <w:p w:rsidR="00852C8C" w:rsidRDefault="00D860CC">
      <w:pPr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:rsidR="00852C8C" w:rsidRDefault="00D860CC">
      <w:pPr>
        <w:spacing w:after="0" w:line="240" w:lineRule="exact"/>
        <w:jc w:val="center"/>
      </w:pPr>
      <w:r>
        <w:rPr>
          <w:rFonts w:ascii="Corbel" w:hAnsi="Corbel" w:cs="Corbel"/>
          <w:b/>
          <w:smallCaps/>
          <w:sz w:val="24"/>
          <w:szCs w:val="24"/>
        </w:rPr>
        <w:t xml:space="preserve">dotyczy cyklu kształcenia </w:t>
      </w:r>
      <w:r w:rsidR="00310A53">
        <w:rPr>
          <w:rFonts w:ascii="Corbel" w:hAnsi="Corbel" w:cs="Corbel"/>
          <w:i/>
          <w:smallCaps/>
          <w:sz w:val="24"/>
          <w:szCs w:val="24"/>
        </w:rPr>
        <w:t>2023-2026</w:t>
      </w:r>
      <w:bookmarkStart w:id="0" w:name="_GoBack"/>
      <w:bookmarkEnd w:id="0"/>
    </w:p>
    <w:p w:rsidR="00852C8C" w:rsidRDefault="00D860CC">
      <w:pPr>
        <w:spacing w:after="0" w:line="240" w:lineRule="exact"/>
        <w:jc w:val="both"/>
      </w:pPr>
      <w:r>
        <w:rPr>
          <w:rFonts w:ascii="Corbel" w:eastAsia="Corbel" w:hAnsi="Corbel" w:cs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 w:cs="Corbel"/>
          <w:i/>
          <w:sz w:val="20"/>
          <w:szCs w:val="20"/>
        </w:rPr>
        <w:t>(skrajne daty</w:t>
      </w:r>
      <w:r>
        <w:rPr>
          <w:rFonts w:ascii="Corbel" w:hAnsi="Corbel" w:cs="Corbel"/>
          <w:sz w:val="20"/>
          <w:szCs w:val="20"/>
        </w:rPr>
        <w:t>)</w:t>
      </w:r>
    </w:p>
    <w:p w:rsidR="00852C8C" w:rsidRDefault="00D860CC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  <w:t>Rok akademicki   2023/4</w:t>
      </w:r>
    </w:p>
    <w:p w:rsidR="00852C8C" w:rsidRDefault="00852C8C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852C8C" w:rsidRDefault="00D860CC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9790" w:type="dxa"/>
        <w:tblInd w:w="-3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2693"/>
        <w:gridCol w:w="7097"/>
      </w:tblGrid>
      <w:tr w:rsidR="00852C8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snapToGrid w:val="0"/>
              <w:spacing w:after="0"/>
              <w:rPr>
                <w:rFonts w:ascii="Arial" w:eastAsia="Arial" w:hAnsi="Arial" w:cs="Arial"/>
                <w:sz w:val="20"/>
                <w:szCs w:val="24"/>
              </w:rPr>
            </w:pPr>
            <w:r>
              <w:rPr>
                <w:rFonts w:ascii="Corbel" w:eastAsia="Arial" w:hAnsi="Corbel" w:cs="Corbel"/>
                <w:sz w:val="20"/>
                <w:szCs w:val="24"/>
              </w:rPr>
              <w:t>Wprowadzenie  do nauki o komunikacji międzykulturowej</w:t>
            </w:r>
          </w:p>
        </w:tc>
      </w:tr>
      <w:tr w:rsidR="00852C8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852C8C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852C8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Kolegium Humanistyczne</w:t>
            </w:r>
          </w:p>
        </w:tc>
      </w:tr>
      <w:tr w:rsidR="00852C8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Nazwa jednostki realizującej </w:t>
            </w:r>
            <w:r>
              <w:rPr>
                <w:rFonts w:ascii="Corbel" w:hAnsi="Corbel" w:cs="Corbel"/>
                <w:sz w:val="24"/>
                <w:szCs w:val="24"/>
              </w:rPr>
              <w:t>przedmiot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Kolegium Humanistyczne, Instytut Filozofii/Zakład Filozofii Człowieka</w:t>
            </w:r>
          </w:p>
        </w:tc>
      </w:tr>
      <w:tr w:rsidR="00852C8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Komunikacja miedzykulturowa</w:t>
            </w:r>
          </w:p>
        </w:tc>
      </w:tr>
      <w:tr w:rsidR="00852C8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podstawowy</w:t>
            </w:r>
          </w:p>
        </w:tc>
      </w:tr>
      <w:tr w:rsidR="00852C8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specjalizacyjny</w:t>
            </w:r>
          </w:p>
        </w:tc>
      </w:tr>
      <w:tr w:rsidR="00852C8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852C8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I/1</w:t>
            </w:r>
          </w:p>
        </w:tc>
      </w:tr>
      <w:tr w:rsidR="00852C8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obligatoryjny</w:t>
            </w:r>
          </w:p>
        </w:tc>
      </w:tr>
      <w:tr w:rsidR="00852C8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(ENG)</w:t>
            </w:r>
          </w:p>
        </w:tc>
      </w:tr>
      <w:tr w:rsidR="00852C8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852C8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:rsidR="00852C8C" w:rsidRDefault="00D860CC">
      <w:pPr>
        <w:pStyle w:val="Podpunkty"/>
        <w:spacing w:before="280" w:after="280"/>
        <w:ind w:left="0"/>
      </w:pPr>
      <w:r>
        <w:rPr>
          <w:rFonts w:ascii="Corbel" w:hAnsi="Corbel" w:cs="Corbel"/>
          <w:sz w:val="24"/>
          <w:szCs w:val="24"/>
        </w:rPr>
        <w:lastRenderedPageBreak/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852C8C" w:rsidRDefault="00852C8C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852C8C" w:rsidRDefault="00D860CC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852C8C" w:rsidRDefault="00852C8C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048"/>
        <w:gridCol w:w="913"/>
        <w:gridCol w:w="788"/>
        <w:gridCol w:w="851"/>
        <w:gridCol w:w="801"/>
        <w:gridCol w:w="822"/>
        <w:gridCol w:w="763"/>
        <w:gridCol w:w="949"/>
        <w:gridCol w:w="1189"/>
        <w:gridCol w:w="1513"/>
      </w:tblGrid>
      <w:tr w:rsidR="00852C8C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C8C" w:rsidRDefault="00D860CC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852C8C" w:rsidRDefault="00D860CC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852C8C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C8C" w:rsidRDefault="00D860C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852C8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852C8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852C8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852C8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852C8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852C8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  <w:tr w:rsidR="00852C8C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C8C" w:rsidRDefault="00852C8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852C8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852C8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852C8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852C8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852C8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852C8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852C8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852C8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852C8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852C8C" w:rsidRDefault="00852C8C">
      <w:pPr>
        <w:pStyle w:val="Podpunkty"/>
        <w:ind w:left="0"/>
        <w:rPr>
          <w:rFonts w:ascii="Corbel" w:hAnsi="Corbel" w:cs="Corbel"/>
          <w:b w:val="0"/>
          <w:sz w:val="24"/>
          <w:szCs w:val="24"/>
          <w:lang w:eastAsia="en-US"/>
        </w:rPr>
      </w:pPr>
    </w:p>
    <w:p w:rsidR="00852C8C" w:rsidRDefault="00852C8C">
      <w:pPr>
        <w:pStyle w:val="Podpunkty"/>
        <w:rPr>
          <w:rFonts w:ascii="Corbel" w:hAnsi="Corbel" w:cs="Corbel"/>
          <w:b w:val="0"/>
          <w:sz w:val="24"/>
          <w:szCs w:val="24"/>
          <w:lang w:eastAsia="en-US"/>
        </w:rPr>
      </w:pPr>
    </w:p>
    <w:p w:rsidR="00852C8C" w:rsidRDefault="00D860C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:rsidR="00852C8C" w:rsidRDefault="00D860CC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Cs/>
          <w:smallCaps w:val="0"/>
          <w:szCs w:val="24"/>
          <w:u w:val="single"/>
        </w:rPr>
        <w:t>zajęcia w formie tradycyjnej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="00852C8C" w:rsidRDefault="00D860CC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 w:val="0"/>
          <w:smallCaps w:val="0"/>
          <w:szCs w:val="24"/>
        </w:rPr>
        <w:t>zajęcia realizowane z wykorzystaniem metod i technik kształcenia na odległość</w:t>
      </w:r>
    </w:p>
    <w:p w:rsidR="00852C8C" w:rsidRDefault="00852C8C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852C8C" w:rsidRDefault="00D860CC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 w:cs="Corbel"/>
          <w:b w:val="0"/>
          <w:smallCaps w:val="0"/>
          <w:szCs w:val="24"/>
        </w:rPr>
        <w:t xml:space="preserve">(egzamin, </w:t>
      </w:r>
      <w:r>
        <w:rPr>
          <w:rFonts w:ascii="Corbel" w:hAnsi="Corbel" w:cs="Corbel"/>
          <w:bCs/>
          <w:smallCaps w:val="0"/>
          <w:szCs w:val="24"/>
          <w:u w:val="single"/>
        </w:rPr>
        <w:t>zaliczenie z oceną</w:t>
      </w:r>
      <w:r>
        <w:rPr>
          <w:rFonts w:ascii="Corbel" w:hAnsi="Corbel" w:cs="Corbel"/>
          <w:b w:val="0"/>
          <w:smallCaps w:val="0"/>
          <w:szCs w:val="24"/>
        </w:rPr>
        <w:t>, zaliczenie bez oceny)</w:t>
      </w:r>
    </w:p>
    <w:p w:rsidR="00852C8C" w:rsidRDefault="00852C8C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852C8C" w:rsidRDefault="00852C8C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852C8C" w:rsidRDefault="00D860CC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530"/>
      </w:tblGrid>
      <w:tr w:rsidR="00852C8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>podstawowa wiedza z zakresu historii kultury</w:t>
            </w:r>
          </w:p>
          <w:p w:rsidR="00852C8C" w:rsidRDefault="00852C8C">
            <w:pPr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</w:p>
          <w:p w:rsidR="00852C8C" w:rsidRDefault="00D860CC">
            <w:pPr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>zalecana: znajomośc języka angielskiego na poziomie B1-2 (reading, listening, understanding)</w:t>
            </w:r>
          </w:p>
        </w:tc>
      </w:tr>
    </w:tbl>
    <w:p w:rsidR="00852C8C" w:rsidRDefault="00852C8C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852C8C" w:rsidRDefault="00D860CC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:rsidR="00852C8C" w:rsidRDefault="00852C8C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852C8C" w:rsidRDefault="00D860CC">
      <w:pPr>
        <w:pStyle w:val="Podpunkty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:rsidR="00852C8C" w:rsidRDefault="00852C8C">
      <w:pPr>
        <w:pStyle w:val="Podpunkty"/>
        <w:rPr>
          <w:rFonts w:ascii="Corbel" w:hAnsi="Corbel" w:cs="Corbel"/>
          <w:sz w:val="24"/>
          <w:szCs w:val="24"/>
        </w:rPr>
      </w:pPr>
    </w:p>
    <w:p w:rsidR="00852C8C" w:rsidRDefault="00852C8C">
      <w:pPr>
        <w:rPr>
          <w:rFonts w:ascii="Corbel" w:hAnsi="Corbel" w:cs="Corbel"/>
          <w:i/>
          <w:sz w:val="24"/>
          <w:szCs w:val="24"/>
        </w:rPr>
      </w:pPr>
    </w:p>
    <w:tbl>
      <w:tblPr>
        <w:tblW w:w="9529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844"/>
        <w:gridCol w:w="8685"/>
      </w:tblGrid>
      <w:tr w:rsidR="00852C8C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Podpunkty"/>
              <w:spacing w:before="40" w:after="40"/>
              <w:ind w:left="0"/>
              <w:jc w:val="left"/>
              <w:rPr>
                <w:rFonts w:ascii="Arial" w:eastAsia="Arial" w:hAnsi="Arial" w:cs="Arial"/>
                <w:sz w:val="20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snapToGrid w:val="0"/>
              <w:spacing w:after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Zajęcia te mają umożliwić rozumienie współczesnych przekazów kulturowych z różnych obszarów życia społecznego, zarówno na poziomie uczestnictwa w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komunikacji, jak i na metapoziomie (analizy przekazu). Ma uwrażliwić na rozpoznawanie schematów poznawczych i stereotypów; a także strategii komunikacyjnych. Celem finalnym jest:</w:t>
            </w:r>
          </w:p>
        </w:tc>
      </w:tr>
      <w:tr w:rsidR="00852C8C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C1</w:t>
            </w:r>
          </w:p>
        </w:tc>
        <w:tc>
          <w:tcPr>
            <w:tcW w:w="8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snapToGrid w:val="0"/>
              <w:spacing w:after="0"/>
              <w:rPr>
                <w:rFonts w:ascii="Arial" w:eastAsia="Arial" w:hAnsi="Arial" w:cs="Arial"/>
                <w:sz w:val="20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dostarczenie słuchaczom narzędzi, pomagających w osiągnięciu większej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transparentności komunikacyjnej;</w:t>
            </w:r>
          </w:p>
        </w:tc>
      </w:tr>
      <w:tr w:rsidR="00852C8C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snapToGrid w:val="0"/>
              <w:spacing w:after="0"/>
              <w:rPr>
                <w:rFonts w:ascii="Arial" w:eastAsia="Arial" w:hAnsi="Arial" w:cs="Arial"/>
                <w:sz w:val="20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rozpoznawanie strategii komunikacyjnych, stosowanych w różnych dziedzinach  życia społecznego</w:t>
            </w:r>
          </w:p>
        </w:tc>
      </w:tr>
      <w:tr w:rsidR="00852C8C"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snapToGrid w:val="0"/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rozróżnianie treści merytorycznych i ideologicznych</w:t>
            </w:r>
          </w:p>
        </w:tc>
      </w:tr>
      <w:tr w:rsidR="00852C8C"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snapToGrid w:val="0"/>
              <w:spacing w:before="40" w:after="40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rozpoznawanie technik manipoulacji, występuhjących na różnych </w:t>
            </w:r>
            <w:r>
              <w:rPr>
                <w:rFonts w:ascii="Arial" w:eastAsia="Arial" w:hAnsi="Arial" w:cs="Arial"/>
                <w:sz w:val="20"/>
                <w:szCs w:val="20"/>
              </w:rPr>
              <w:t>poziomach dyskursu społecznego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i </w:t>
            </w:r>
            <w:r>
              <w:rPr>
                <w:rFonts w:ascii="Arial" w:eastAsia="Arial" w:hAnsi="Arial" w:cs="Arial"/>
                <w:sz w:val="20"/>
                <w:szCs w:val="20"/>
              </w:rPr>
              <w:t>umiejętność czytelnego ich przekazu</w:t>
            </w:r>
          </w:p>
        </w:tc>
      </w:tr>
    </w:tbl>
    <w:p w:rsidR="00852C8C" w:rsidRDefault="00852C8C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:rsidR="00852C8C" w:rsidRDefault="00D860CC">
      <w:pPr>
        <w:spacing w:after="0" w:line="240" w:lineRule="auto"/>
        <w:ind w:left="426"/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:rsidR="00852C8C" w:rsidRDefault="00852C8C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681"/>
        <w:gridCol w:w="5974"/>
        <w:gridCol w:w="1875"/>
      </w:tblGrid>
      <w:tr w:rsidR="00852C8C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smallCaps w:val="0"/>
                <w:szCs w:val="24"/>
              </w:rPr>
              <w:lastRenderedPageBreak/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Anchor"/>
                <w:rFonts w:ascii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2C8C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C8C" w:rsidRDefault="00D860C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C8C" w:rsidRDefault="00D860CC">
            <w:pPr>
              <w:pStyle w:val="Default"/>
              <w:spacing w:after="292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ma uporządkowaną wiedzę podstawową z zakresu bloków i zagadnień dotyczących komunikacji międzykulturowej:   wiedzy o kulturze, wiedzy o komunikacji, </w:t>
            </w:r>
            <w:r>
              <w:rPr>
                <w:rFonts w:eastAsia="Arial CE" w:cs="Arial CE"/>
                <w:sz w:val="20"/>
                <w:szCs w:val="20"/>
              </w:rPr>
              <w:t>elementów filozofii i krytycznego myślenia</w:t>
            </w:r>
          </w:p>
          <w:p w:rsidR="00852C8C" w:rsidRDefault="00D860CC">
            <w:pPr>
              <w:pStyle w:val="Default"/>
              <w:spacing w:after="292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ma wiedzę o podstawowych  metodach  analizy i interpretacji różn</w:t>
            </w:r>
            <w:r>
              <w:rPr>
                <w:rFonts w:cs="Times New Roman"/>
                <w:sz w:val="20"/>
                <w:szCs w:val="20"/>
              </w:rPr>
              <w:t>ych wytworów kultury</w:t>
            </w:r>
          </w:p>
          <w:p w:rsidR="00852C8C" w:rsidRDefault="00D860CC">
            <w:pPr>
              <w:pStyle w:val="Default"/>
              <w:spacing w:after="292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ma wiedzę o historycznych zmianach instytucji społeczno – kulturowych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snapToGrid w:val="0"/>
              <w:spacing w:after="0"/>
              <w:rPr>
                <w:rFonts w:ascii="Arial" w:hAnsi="Arial" w:cs="Corbel"/>
                <w:sz w:val="20"/>
                <w:szCs w:val="20"/>
              </w:rPr>
            </w:pPr>
            <w:r>
              <w:rPr>
                <w:rFonts w:ascii="Arial" w:eastAsia="Arial CE" w:hAnsi="Arial" w:cs="Arial CE"/>
                <w:sz w:val="20"/>
                <w:szCs w:val="20"/>
              </w:rPr>
              <w:t>K_W03</w:t>
            </w:r>
          </w:p>
          <w:p w:rsidR="00852C8C" w:rsidRDefault="00852C8C">
            <w:pPr>
              <w:snapToGrid w:val="0"/>
              <w:spacing w:after="0"/>
              <w:rPr>
                <w:rFonts w:eastAsia="Arial CE" w:cs="Arial CE"/>
              </w:rPr>
            </w:pPr>
          </w:p>
          <w:p w:rsidR="00852C8C" w:rsidRDefault="00852C8C">
            <w:pPr>
              <w:snapToGrid w:val="0"/>
              <w:spacing w:after="0"/>
              <w:rPr>
                <w:rFonts w:eastAsia="Arial CE" w:cs="Arial CE"/>
              </w:rPr>
            </w:pPr>
          </w:p>
          <w:p w:rsidR="00852C8C" w:rsidRDefault="00852C8C">
            <w:pPr>
              <w:snapToGrid w:val="0"/>
              <w:spacing w:after="0"/>
              <w:rPr>
                <w:rFonts w:eastAsia="Arial CE" w:cs="Arial CE"/>
              </w:rPr>
            </w:pPr>
          </w:p>
          <w:p w:rsidR="00852C8C" w:rsidRDefault="00852C8C">
            <w:pPr>
              <w:snapToGrid w:val="0"/>
              <w:spacing w:after="0"/>
              <w:rPr>
                <w:rFonts w:eastAsia="Arial CE" w:cs="Arial CE"/>
              </w:rPr>
            </w:pPr>
          </w:p>
          <w:p w:rsidR="00852C8C" w:rsidRDefault="00D860CC">
            <w:pPr>
              <w:snapToGrid w:val="0"/>
              <w:spacing w:after="0"/>
              <w:rPr>
                <w:rFonts w:ascii="Arial" w:hAnsi="Arial" w:cs="Corbel"/>
                <w:sz w:val="20"/>
                <w:szCs w:val="20"/>
              </w:rPr>
            </w:pPr>
            <w:r>
              <w:rPr>
                <w:rFonts w:ascii="Arial" w:eastAsia="Arial CE" w:hAnsi="Arial" w:cs="Arial CE"/>
                <w:sz w:val="20"/>
                <w:szCs w:val="20"/>
              </w:rPr>
              <w:t>K_W06</w:t>
            </w:r>
          </w:p>
          <w:p w:rsidR="00852C8C" w:rsidRDefault="00852C8C">
            <w:pPr>
              <w:snapToGrid w:val="0"/>
              <w:spacing w:after="0"/>
              <w:rPr>
                <w:rFonts w:eastAsia="Arial CE" w:cs="Arial CE"/>
              </w:rPr>
            </w:pPr>
          </w:p>
          <w:p w:rsidR="00852C8C" w:rsidRDefault="00852C8C">
            <w:pPr>
              <w:snapToGrid w:val="0"/>
              <w:spacing w:after="0"/>
              <w:rPr>
                <w:rFonts w:eastAsia="Arial CE" w:cs="Arial CE"/>
              </w:rPr>
            </w:pPr>
          </w:p>
          <w:p w:rsidR="00852C8C" w:rsidRDefault="00D860CC">
            <w:pPr>
              <w:snapToGrid w:val="0"/>
              <w:spacing w:after="0"/>
              <w:rPr>
                <w:rFonts w:ascii="Arial" w:hAnsi="Arial" w:cs="Corbel"/>
                <w:sz w:val="20"/>
                <w:szCs w:val="20"/>
              </w:rPr>
            </w:pPr>
            <w:r>
              <w:rPr>
                <w:rFonts w:ascii="Arial" w:eastAsia="Arial CE" w:hAnsi="Arial" w:cs="Arial CE"/>
                <w:sz w:val="20"/>
                <w:szCs w:val="20"/>
              </w:rPr>
              <w:t>K_W11</w:t>
            </w:r>
          </w:p>
        </w:tc>
      </w:tr>
      <w:tr w:rsidR="00852C8C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C8C" w:rsidRDefault="00D860C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C8C" w:rsidRDefault="00D860CC">
            <w:pPr>
              <w:autoSpaceDE w:val="0"/>
              <w:snapToGrid w:val="0"/>
              <w:spacing w:before="240" w:after="0"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potrafi rozpoznać, zinterpretować i analizować krytycznie  różne rodzaje wytworów kultury i określić  ich rangę w procesie komunikacji</w:t>
            </w:r>
            <w:r>
              <w:rPr>
                <w:rFonts w:ascii="Arial" w:hAnsi="Arial"/>
                <w:sz w:val="20"/>
                <w:szCs w:val="20"/>
              </w:rPr>
              <w:t xml:space="preserve"> międzykulturowej</w:t>
            </w:r>
          </w:p>
          <w:p w:rsidR="00852C8C" w:rsidRDefault="00D860CC">
            <w:pPr>
              <w:autoSpaceDE w:val="0"/>
              <w:snapToGrid w:val="0"/>
              <w:spacing w:before="240" w:after="0"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 w:cs="Arial CE"/>
                <w:sz w:val="20"/>
                <w:szCs w:val="20"/>
              </w:rPr>
              <w:t>potrafi prezentować  podstawowe problemy związane z dziedzinami  dotyczącymi komunikacji międzykulturowej</w:t>
            </w:r>
          </w:p>
          <w:p w:rsidR="00852C8C" w:rsidRDefault="00852C8C">
            <w:pPr>
              <w:autoSpaceDE w:val="0"/>
              <w:snapToGrid w:val="0"/>
              <w:spacing w:before="240" w:after="0" w:line="360" w:lineRule="auto"/>
              <w:rPr>
                <w:rFonts w:eastAsia="Arial CE" w:cs="Arial CE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snapToGrid w:val="0"/>
              <w:spacing w:after="0"/>
              <w:rPr>
                <w:rFonts w:ascii="Arial" w:hAnsi="Arial" w:cs="Corbel"/>
                <w:sz w:val="20"/>
                <w:szCs w:val="20"/>
              </w:rPr>
            </w:pPr>
            <w:r>
              <w:rPr>
                <w:rFonts w:ascii="Arial" w:eastAsia="Arial CE" w:hAnsi="Arial" w:cs="Arial CE"/>
                <w:sz w:val="20"/>
                <w:szCs w:val="20"/>
              </w:rPr>
              <w:t>K_U05</w:t>
            </w:r>
          </w:p>
          <w:p w:rsidR="00852C8C" w:rsidRDefault="00852C8C">
            <w:pPr>
              <w:snapToGrid w:val="0"/>
              <w:spacing w:after="0"/>
              <w:rPr>
                <w:rFonts w:eastAsia="Arial CE" w:cs="Arial CE"/>
              </w:rPr>
            </w:pPr>
          </w:p>
          <w:p w:rsidR="00852C8C" w:rsidRDefault="00852C8C">
            <w:pPr>
              <w:snapToGrid w:val="0"/>
              <w:spacing w:after="0"/>
              <w:rPr>
                <w:rFonts w:eastAsia="Arial CE" w:cs="Arial CE"/>
              </w:rPr>
            </w:pPr>
          </w:p>
          <w:p w:rsidR="00852C8C" w:rsidRDefault="00852C8C">
            <w:pPr>
              <w:snapToGrid w:val="0"/>
              <w:spacing w:after="0"/>
              <w:rPr>
                <w:rFonts w:eastAsia="Arial CE" w:cs="Arial CE"/>
              </w:rPr>
            </w:pPr>
          </w:p>
          <w:p w:rsidR="00852C8C" w:rsidRDefault="00852C8C">
            <w:pPr>
              <w:snapToGrid w:val="0"/>
              <w:spacing w:after="0"/>
              <w:rPr>
                <w:rFonts w:eastAsia="Arial CE" w:cs="Arial CE"/>
              </w:rPr>
            </w:pPr>
          </w:p>
          <w:p w:rsidR="00852C8C" w:rsidRDefault="00852C8C">
            <w:pPr>
              <w:snapToGrid w:val="0"/>
              <w:spacing w:after="0"/>
              <w:rPr>
                <w:rFonts w:eastAsia="Arial CE" w:cs="Arial CE"/>
              </w:rPr>
            </w:pPr>
          </w:p>
          <w:p w:rsidR="00852C8C" w:rsidRDefault="00D860CC">
            <w:pPr>
              <w:snapToGrid w:val="0"/>
              <w:spacing w:after="0"/>
              <w:rPr>
                <w:rFonts w:ascii="Arial" w:hAnsi="Arial" w:cs="Corbel"/>
                <w:sz w:val="20"/>
                <w:szCs w:val="20"/>
              </w:rPr>
            </w:pPr>
            <w:r>
              <w:rPr>
                <w:rFonts w:ascii="Arial" w:eastAsia="Arial CE" w:hAnsi="Arial" w:cs="Arial CE"/>
                <w:sz w:val="20"/>
                <w:szCs w:val="20"/>
              </w:rPr>
              <w:t>K_U09</w:t>
            </w:r>
          </w:p>
        </w:tc>
      </w:tr>
      <w:tr w:rsidR="00852C8C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C8C" w:rsidRDefault="00D860C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C8C" w:rsidRDefault="00D860CC">
            <w:pPr>
              <w:pStyle w:val="Default"/>
              <w:snapToGrid w:val="0"/>
              <w:spacing w:after="292"/>
              <w:jc w:val="both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potrafi kooperować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K__K02</w:t>
            </w:r>
          </w:p>
        </w:tc>
      </w:tr>
    </w:tbl>
    <w:p w:rsidR="00852C8C" w:rsidRDefault="00852C8C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852C8C" w:rsidRDefault="00D860CC">
      <w:pPr>
        <w:pStyle w:val="Akapitzlist"/>
        <w:spacing w:line="240" w:lineRule="auto"/>
        <w:ind w:left="426"/>
        <w:jc w:val="both"/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:rsidR="00852C8C" w:rsidRDefault="00D860CC">
      <w:pPr>
        <w:pStyle w:val="Akapitzlist"/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:rsidR="00852C8C" w:rsidRDefault="00852C8C">
      <w:pPr>
        <w:pStyle w:val="Akapitzlist"/>
        <w:spacing w:after="120" w:line="240" w:lineRule="auto"/>
        <w:ind w:left="1080"/>
        <w:contextualSpacing/>
        <w:jc w:val="both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530"/>
      </w:tblGrid>
      <w:tr w:rsidR="00852C8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pStyle w:val="Akapitzlist"/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852C8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852C8C">
            <w:pPr>
              <w:pStyle w:val="Akapitzlist"/>
              <w:snapToGrid w:val="0"/>
              <w:spacing w:after="0" w:line="240" w:lineRule="auto"/>
              <w:rPr>
                <w:rFonts w:ascii="Corbel" w:hAnsi="Corbel" w:cs="Corbel"/>
                <w:sz w:val="24"/>
              </w:rPr>
            </w:pPr>
          </w:p>
        </w:tc>
      </w:tr>
      <w:tr w:rsidR="00852C8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numPr>
                <w:ilvl w:val="0"/>
                <w:numId w:val="2"/>
              </w:numPr>
              <w:autoSpaceDE w:val="0"/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Główne koncepcje relacji społecznych jako wymiany informacji; Związki pomiędzy tożsamością grupową a preferowanymi strategiami komunikacyjnymi; </w:t>
            </w:r>
          </w:p>
        </w:tc>
      </w:tr>
      <w:tr w:rsidR="00852C8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Sposoby  kostruowania zbiorowych tożsamości: reguły odróżnoalności i </w:t>
            </w:r>
            <w:r>
              <w:rPr>
                <w:rFonts w:ascii="Arial" w:eastAsia="Arial" w:hAnsi="Arial" w:cs="Arial"/>
                <w:i/>
                <w:sz w:val="20"/>
              </w:rPr>
              <w:t>narcyzm małych różnic</w:t>
            </w:r>
            <w:r>
              <w:rPr>
                <w:rFonts w:ascii="Arial" w:eastAsia="Arial" w:hAnsi="Arial" w:cs="Arial"/>
                <w:sz w:val="20"/>
              </w:rPr>
              <w:t xml:space="preserve">;  znaczenie artefaktów dla zrozumienia procesów komunikacyjnych oraz ich ograniczeń  przez społeczne tabu . </w:t>
            </w:r>
          </w:p>
        </w:tc>
      </w:tr>
      <w:tr w:rsidR="00852C8C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Praktyczne metody interpretacji rozmaitych typów dyskurów i właściwej im  skuteczności przekazu (wątki symboliczne, kody ekspresyjne);</w:t>
            </w:r>
          </w:p>
        </w:tc>
      </w:tr>
      <w:tr w:rsidR="00852C8C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Rzeczywis</w:t>
            </w:r>
            <w:r>
              <w:rPr>
                <w:rFonts w:ascii="Arial" w:eastAsia="Arial" w:hAnsi="Arial" w:cs="Arial"/>
                <w:sz w:val="20"/>
              </w:rPr>
              <w:t>tość społeczna jako „teatr życia codziennego”: indywidualna i  zbiorowa autokreacja. Znaczenie elementów aracjonalnych; czynniki afektywne w procesach komunikacji</w:t>
            </w:r>
          </w:p>
        </w:tc>
      </w:tr>
      <w:tr w:rsidR="00852C8C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Zasady  organizowania dyskursu wewnętrznego. Znaczenie reguł ukrytych dla komunikacji kultur</w:t>
            </w:r>
            <w:r>
              <w:rPr>
                <w:rFonts w:ascii="Arial" w:eastAsia="Arial" w:hAnsi="Arial" w:cs="Arial"/>
                <w:sz w:val="20"/>
              </w:rPr>
              <w:t xml:space="preserve">owej; o odróżnialności reguł ukrytych od systemów tabu; </w:t>
            </w:r>
          </w:p>
        </w:tc>
      </w:tr>
      <w:tr w:rsidR="00852C8C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Niezbędność mitów i symboli w procesach społecznych. Koncepcje   komunikacyjnych funkcji i  znaczenia   fantazmatów kulturowych</w:t>
            </w:r>
          </w:p>
        </w:tc>
      </w:tr>
      <w:tr w:rsidR="00852C8C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Narracje symboliczne – sztuka czytania mitów historycznych i </w:t>
            </w:r>
            <w:r>
              <w:rPr>
                <w:rFonts w:ascii="Arial" w:eastAsia="Arial" w:hAnsi="Arial" w:cs="Arial"/>
                <w:sz w:val="20"/>
              </w:rPr>
              <w:t>współczesnych. Mitologie i mistyfikacje konfliktów społecznych. Wypieranie i fetyszyzacja sytuacji konfliktowych.</w:t>
            </w:r>
          </w:p>
        </w:tc>
      </w:tr>
    </w:tbl>
    <w:p w:rsidR="00852C8C" w:rsidRDefault="00852C8C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852C8C" w:rsidRDefault="00D860C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  <w:highlight w:val="yellow"/>
        </w:rPr>
      </w:pPr>
      <w:r>
        <w:rPr>
          <w:rFonts w:ascii="Corbel" w:hAnsi="Corbel" w:cs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852C8C" w:rsidRDefault="00852C8C">
      <w:pPr>
        <w:pStyle w:val="Akapitzlist"/>
        <w:spacing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530"/>
      </w:tblGrid>
      <w:tr w:rsidR="00852C8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pStyle w:val="Akapitzlist"/>
              <w:spacing w:after="0" w:line="240" w:lineRule="auto"/>
              <w:ind w:left="708" w:hanging="708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852C8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pStyle w:val="Akapitzlist"/>
              <w:snapToGrid w:val="0"/>
              <w:spacing w:after="0" w:line="240" w:lineRule="auto"/>
            </w:pPr>
            <w:r>
              <w:rPr>
                <w:rFonts w:ascii="Corbel" w:hAnsi="Corbel" w:cs="Corbel"/>
                <w:sz w:val="24"/>
              </w:rPr>
              <w:t xml:space="preserve">1. Opanowanie podstawowych zasad  rozpoznawania typów kultury i adekwatnych sposobów postępowania. </w:t>
            </w:r>
            <w:r>
              <w:rPr>
                <w:rFonts w:ascii="Corbel" w:hAnsi="Corbel" w:cs="Corbel"/>
                <w:sz w:val="24"/>
              </w:rPr>
              <w:t>Rozróżnianie artefaktów, ich rangi i znaczeń.</w:t>
            </w:r>
          </w:p>
        </w:tc>
      </w:tr>
      <w:tr w:rsidR="00852C8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pStyle w:val="Akapitzlist"/>
              <w:snapToGrid w:val="0"/>
              <w:spacing w:after="0" w:line="240" w:lineRule="auto"/>
              <w:rPr>
                <w:rFonts w:ascii="Corbel" w:hAnsi="Corbel" w:cs="Corbel"/>
                <w:sz w:val="24"/>
              </w:rPr>
            </w:pPr>
            <w:r>
              <w:rPr>
                <w:rFonts w:ascii="Corbel" w:hAnsi="Corbel" w:cs="Corbel"/>
                <w:sz w:val="24"/>
              </w:rPr>
              <w:t>2. Podstawowe kompetencje, związane z ekspresją emocjonalną, jej znaczeniem  w różnych kulturach  i właściwych</w:t>
            </w:r>
            <w:r>
              <w:rPr>
                <w:rFonts w:ascii="Corbel" w:hAnsi="Corbel" w:cs="Corbel"/>
                <w:sz w:val="24"/>
              </w:rPr>
              <w:t xml:space="preserve"> formach.</w:t>
            </w:r>
          </w:p>
        </w:tc>
      </w:tr>
      <w:tr w:rsidR="00852C8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852C8C">
            <w:pPr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852C8C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snapToGrid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(praca z tekstem, ćwiczenia dyskursywne)</w:t>
            </w:r>
          </w:p>
        </w:tc>
      </w:tr>
      <w:tr w:rsidR="00852C8C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852C8C">
            <w:pPr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852C8C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852C8C">
            <w:pPr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852C8C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852C8C">
            <w:pPr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852C8C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852C8C">
            <w:pPr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852C8C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852C8C">
            <w:pPr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</w:tbl>
    <w:p w:rsidR="00852C8C" w:rsidRDefault="00852C8C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852C8C" w:rsidRDefault="00D860CC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</w:p>
    <w:p w:rsidR="00852C8C" w:rsidRDefault="00852C8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852C8C" w:rsidRDefault="00852C8C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szCs w:val="24"/>
        </w:rPr>
      </w:pPr>
    </w:p>
    <w:p w:rsidR="00852C8C" w:rsidRDefault="00D860CC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smallCaps w:val="0"/>
          <w:sz w:val="20"/>
          <w:szCs w:val="20"/>
        </w:rPr>
        <w:t>Np</w:t>
      </w:r>
      <w:r>
        <w:rPr>
          <w:rFonts w:ascii="Corbel" w:hAnsi="Corbel" w:cs="Corbel"/>
          <w:sz w:val="20"/>
          <w:szCs w:val="20"/>
        </w:rPr>
        <w:t xml:space="preserve">.: </w:t>
      </w:r>
    </w:p>
    <w:p w:rsidR="00852C8C" w:rsidRDefault="00D860CC">
      <w:pPr>
        <w:pStyle w:val="Punktygwne"/>
        <w:spacing w:before="0" w:after="0"/>
        <w:jc w:val="both"/>
      </w:pPr>
      <w:r>
        <w:rPr>
          <w:rFonts w:ascii="Corbel" w:eastAsia="Corbel" w:hAnsi="Corbel" w:cs="Corbel"/>
          <w:b w:val="0"/>
          <w:i/>
          <w:sz w:val="20"/>
          <w:szCs w:val="20"/>
        </w:rPr>
        <w:t xml:space="preserve">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</w:t>
      </w:r>
      <w:r>
        <w:rPr>
          <w:rFonts w:ascii="Corbel" w:hAnsi="Corbel" w:cs="Corbel"/>
          <w:bCs/>
          <w:i/>
          <w:smallCaps w:val="0"/>
          <w:sz w:val="20"/>
          <w:szCs w:val="20"/>
        </w:rPr>
        <w:t>wykład problemowy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, </w:t>
      </w:r>
      <w:r>
        <w:rPr>
          <w:rFonts w:ascii="Corbel" w:hAnsi="Corbel" w:cs="Corbel"/>
          <w:bCs/>
          <w:i/>
          <w:smallCaps w:val="0"/>
          <w:sz w:val="20"/>
          <w:szCs w:val="20"/>
        </w:rPr>
        <w:t>wykład z prezentacją multimedialną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, metody kształcenia na odległość </w:t>
      </w:r>
    </w:p>
    <w:p w:rsidR="00852C8C" w:rsidRDefault="00D860CC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 w:cs="Corbel"/>
          <w:bCs/>
          <w:i/>
          <w:smallCaps w:val="0"/>
          <w:sz w:val="20"/>
          <w:szCs w:val="20"/>
        </w:rPr>
        <w:t xml:space="preserve">analiza tekstów z dyskusją, metoda projektów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(projekt badawczy, wdrożeniowy, praktyczny), </w:t>
      </w:r>
      <w:r>
        <w:rPr>
          <w:rFonts w:ascii="Corbel" w:hAnsi="Corbel" w:cs="Corbel"/>
          <w:bCs/>
          <w:i/>
          <w:smallCaps w:val="0"/>
          <w:sz w:val="20"/>
          <w:szCs w:val="20"/>
        </w:rPr>
        <w:t xml:space="preserve">praca w grupach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(rozwiązywanie zadań, dyskusja),gry dydaktyczne, metody kształcenia na odległość </w:t>
      </w:r>
    </w:p>
    <w:p w:rsidR="00852C8C" w:rsidRDefault="00D860CC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852C8C" w:rsidRDefault="00852C8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852C8C" w:rsidRDefault="00852C8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852C8C" w:rsidRDefault="00852C8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852C8C" w:rsidRDefault="00852C8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852C8C" w:rsidRDefault="00852C8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852C8C" w:rsidRDefault="00D860C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852C8C" w:rsidRDefault="00852C8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852C8C" w:rsidRDefault="00D860CC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4.1 Sposoby </w:t>
      </w:r>
      <w:r>
        <w:rPr>
          <w:rFonts w:ascii="Corbel" w:hAnsi="Corbel" w:cs="Corbel"/>
          <w:smallCaps w:val="0"/>
          <w:szCs w:val="24"/>
        </w:rPr>
        <w:t>weryfikacji efektów uczenia się</w:t>
      </w:r>
    </w:p>
    <w:p w:rsidR="00852C8C" w:rsidRDefault="00852C8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962"/>
        <w:gridCol w:w="5440"/>
        <w:gridCol w:w="2128"/>
      </w:tblGrid>
      <w:tr w:rsidR="00852C8C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2C8C" w:rsidRDefault="00D860C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2C8C" w:rsidRDefault="00D860C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00852C8C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C8C" w:rsidRDefault="00D860CC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01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C8C" w:rsidRDefault="00D860CC">
            <w:pPr>
              <w:pStyle w:val="Punktygwne"/>
              <w:snapToGrid w:val="0"/>
              <w:spacing w:before="0" w:after="0"/>
            </w:pPr>
            <w:r>
              <w:rPr>
                <w:b w:val="0"/>
                <w:sz w:val="22"/>
              </w:rPr>
              <w:t>Ocena ciągła, obserwacja pracy w grupach i aktywności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pStyle w:val="Punktygwne"/>
              <w:snapToGrid w:val="0"/>
              <w:spacing w:before="0" w:after="0"/>
            </w:pPr>
            <w:r>
              <w:rPr>
                <w:b w:val="0"/>
                <w:sz w:val="22"/>
              </w:rPr>
              <w:t>W/Ćw</w:t>
            </w:r>
          </w:p>
        </w:tc>
      </w:tr>
      <w:tr w:rsidR="00852C8C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C8C" w:rsidRDefault="00D860CC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C8C" w:rsidRDefault="00D860CC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Realizacja zadań i ćwiczeń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ĆW</w:t>
            </w:r>
          </w:p>
        </w:tc>
      </w:tr>
      <w:tr w:rsidR="00852C8C">
        <w:trPr>
          <w:trHeight w:val="230"/>
        </w:trPr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C8C" w:rsidRDefault="00D860CC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EK_03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C8C" w:rsidRDefault="00D860CC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Realizacja mikroprojektu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ĆW</w:t>
            </w:r>
          </w:p>
        </w:tc>
      </w:tr>
    </w:tbl>
    <w:p w:rsidR="00852C8C" w:rsidRDefault="00852C8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852C8C" w:rsidRDefault="00D860CC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852C8C" w:rsidRDefault="00852C8C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530"/>
      </w:tblGrid>
      <w:tr w:rsidR="00852C8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snapToGrid w:val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Metody oceny: aktywne uczestnictwo w zadaniach konwersatoryjnych </w:t>
            </w:r>
          </w:p>
          <w:p w:rsidR="00852C8C" w:rsidRDefault="00D860CC">
            <w:pPr>
              <w:autoSpaceDE w:val="0"/>
              <w:spacing w:line="36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- przygotowanie analiz niejednorodnych – wysokokontekstowych – komunikatów;</w:t>
            </w:r>
          </w:p>
          <w:p w:rsidR="00852C8C" w:rsidRDefault="00D860CC">
            <w:pPr>
              <w:snapToGrid w:val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Zespołowe przygotowanie scenariusza i przedstawienia zdarzenia, a następnie wpólna analiza: a) założeń scenariusza; b)  wykonania z uwagi na: a) treść komunikatu;</w:t>
            </w:r>
          </w:p>
          <w:p w:rsidR="00852C8C" w:rsidRDefault="00D860CC">
            <w:pPr>
              <w:snapToGrid w:val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 Czytelność i ade</w:t>
            </w:r>
            <w:r>
              <w:rPr>
                <w:rFonts w:ascii="Arial" w:eastAsia="Arial" w:hAnsi="Arial" w:cs="Arial"/>
                <w:sz w:val="20"/>
              </w:rPr>
              <w:t>kwatność przekazu;</w:t>
            </w:r>
          </w:p>
          <w:p w:rsidR="00852C8C" w:rsidRDefault="00D860CC">
            <w:pPr>
              <w:snapToGrid w:val="0"/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znajomość wymaganej literatury.</w:t>
            </w:r>
          </w:p>
          <w:p w:rsidR="00852C8C" w:rsidRDefault="00852C8C">
            <w:pPr>
              <w:pStyle w:val="Punktygwne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  <w:p w:rsidR="00852C8C" w:rsidRDefault="00852C8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852C8C" w:rsidRDefault="00852C8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852C8C" w:rsidRDefault="00852C8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852C8C" w:rsidRDefault="00D860CC">
      <w:pPr>
        <w:pStyle w:val="Bezodstpw"/>
        <w:ind w:left="284" w:hanging="284"/>
        <w:jc w:val="both"/>
        <w:rPr>
          <w:rFonts w:ascii="Corbel" w:hAnsi="Corbel" w:cs="Corbel"/>
          <w:b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852C8C" w:rsidRDefault="00852C8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29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4901"/>
        <w:gridCol w:w="4628"/>
      </w:tblGrid>
      <w:tr w:rsidR="00852C8C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C8C" w:rsidRDefault="00D860CC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52C8C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C8C" w:rsidRDefault="00D860CC">
            <w:pPr>
              <w:pStyle w:val="Akapitzlist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 w:cs="Corbel"/>
                <w:sz w:val="24"/>
                <w:szCs w:val="24"/>
              </w:rPr>
              <w:t>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pStyle w:val="Akapitzlist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 (15+15)</w:t>
            </w:r>
          </w:p>
        </w:tc>
      </w:tr>
      <w:tr w:rsidR="00852C8C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C8C" w:rsidRDefault="00D860CC">
            <w:pPr>
              <w:pStyle w:val="Akapitzlist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:rsidR="00852C8C" w:rsidRDefault="00D860CC">
            <w:pPr>
              <w:pStyle w:val="Akapitzlist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pStyle w:val="Akapitzlist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852C8C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C8C" w:rsidRDefault="00D860CC">
            <w:pPr>
              <w:pStyle w:val="Akapitzlist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:rsidR="00852C8C" w:rsidRDefault="00D860CC">
            <w:pPr>
              <w:pStyle w:val="Akapitzlist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pStyle w:val="Akapitzlist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40 (lektury)</w:t>
            </w:r>
          </w:p>
          <w:p w:rsidR="00852C8C" w:rsidRDefault="00D860CC">
            <w:pPr>
              <w:pStyle w:val="Akapitzlist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15 (ćwiczenia)</w:t>
            </w:r>
          </w:p>
          <w:p w:rsidR="00852C8C" w:rsidRDefault="00D860CC">
            <w:pPr>
              <w:pStyle w:val="Akapitzlist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25 </w:t>
            </w:r>
            <w:r>
              <w:rPr>
                <w:rFonts w:ascii="Corbel" w:hAnsi="Corbel" w:cs="Corbel"/>
                <w:sz w:val="24"/>
                <w:szCs w:val="24"/>
              </w:rPr>
              <w:t>(przygotowanie projektu/scenariusza)</w:t>
            </w:r>
          </w:p>
          <w:p w:rsidR="00852C8C" w:rsidRDefault="00D860CC">
            <w:pPr>
              <w:pStyle w:val="Akapitzlist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 (analiza projektu/scenariusza)</w:t>
            </w:r>
          </w:p>
        </w:tc>
      </w:tr>
      <w:tr w:rsidR="00852C8C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C8C" w:rsidRDefault="00D860CC">
            <w:pPr>
              <w:pStyle w:val="Akapitzlist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pStyle w:val="Akapitzlist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120</w:t>
            </w:r>
          </w:p>
        </w:tc>
      </w:tr>
      <w:tr w:rsidR="00852C8C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C8C" w:rsidRDefault="00D860CC">
            <w:pPr>
              <w:pStyle w:val="Akapitzlist"/>
              <w:spacing w:after="0" w:line="240" w:lineRule="auto"/>
              <w:ind w:left="0"/>
              <w:contextualSpacing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pStyle w:val="Akapitzlist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:rsidR="00852C8C" w:rsidRDefault="00D860CC">
      <w:pPr>
        <w:pStyle w:val="Punktygwne"/>
        <w:spacing w:before="0" w:after="0"/>
        <w:ind w:left="426"/>
        <w:rPr>
          <w:rFonts w:ascii="Corbel" w:hAnsi="Corbel" w:cs="Corbel"/>
          <w:b w:val="0"/>
          <w:i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852C8C" w:rsidRDefault="00852C8C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852C8C" w:rsidRDefault="00D860CC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6. PRAKTYKI ZAWODOWE W RAMACH </w:t>
      </w:r>
      <w:r>
        <w:rPr>
          <w:rFonts w:ascii="Corbel" w:hAnsi="Corbel" w:cs="Corbel"/>
          <w:smallCaps w:val="0"/>
          <w:szCs w:val="24"/>
        </w:rPr>
        <w:t>PRZEDMIOTU</w:t>
      </w:r>
    </w:p>
    <w:p w:rsidR="00852C8C" w:rsidRDefault="00852C8C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7522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3543"/>
        <w:gridCol w:w="3979"/>
      </w:tblGrid>
      <w:tr w:rsidR="00852C8C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C8C" w:rsidRDefault="00D860C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852C8C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2C8C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2C8C" w:rsidRDefault="00D860C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852C8C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852C8C" w:rsidRDefault="00852C8C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852C8C" w:rsidRDefault="00D860CC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:rsidR="00852C8C" w:rsidRDefault="00852C8C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7523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523"/>
      </w:tblGrid>
      <w:tr w:rsidR="00852C8C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:rsidR="00852C8C" w:rsidRDefault="00852C8C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852C8C" w:rsidRDefault="00852C8C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852C8C" w:rsidRDefault="00D860CC">
            <w:pPr>
              <w:numPr>
                <w:ilvl w:val="0"/>
                <w:numId w:val="3"/>
              </w:numPr>
              <w:snapToGrid w:val="0"/>
            </w:pPr>
            <w:r>
              <w:rPr>
                <w:rFonts w:ascii="Arial" w:eastAsia="Arial" w:hAnsi="Arial" w:cs="Arial"/>
                <w:i/>
                <w:sz w:val="20"/>
              </w:rPr>
              <w:t>Geertz C., Interpretacje kultur. Wybrane eseje</w:t>
            </w:r>
            <w:r>
              <w:rPr>
                <w:rFonts w:ascii="Arial" w:eastAsia="Arial" w:hAnsi="Arial" w:cs="Arial"/>
                <w:sz w:val="20"/>
              </w:rPr>
              <w:t>, cz. I, s. 17 – 48; cz. II, r. 1; cz. III, r. 5; cz. IV, r. 8.</w:t>
            </w:r>
          </w:p>
          <w:p w:rsidR="00852C8C" w:rsidRDefault="00D860CC">
            <w:pPr>
              <w:numPr>
                <w:ilvl w:val="0"/>
                <w:numId w:val="3"/>
              </w:numPr>
              <w:tabs>
                <w:tab w:val="left" w:pos="2509"/>
              </w:tabs>
              <w:autoSpaceDE w:val="0"/>
            </w:pPr>
            <w:r>
              <w:rPr>
                <w:rFonts w:ascii="Arial" w:eastAsia="Arial" w:hAnsi="Arial" w:cs="Arial"/>
                <w:sz w:val="20"/>
              </w:rPr>
              <w:t xml:space="preserve">Geertz C., </w:t>
            </w:r>
            <w:r>
              <w:rPr>
                <w:rFonts w:ascii="Arial" w:eastAsia="Arial" w:hAnsi="Arial" w:cs="Arial"/>
                <w:i/>
                <w:sz w:val="20"/>
              </w:rPr>
              <w:t>Zastane światło.</w:t>
            </w:r>
          </w:p>
          <w:p w:rsidR="00852C8C" w:rsidRDefault="00D860CC">
            <w:pPr>
              <w:numPr>
                <w:ilvl w:val="0"/>
                <w:numId w:val="3"/>
              </w:numPr>
              <w:tabs>
                <w:tab w:val="left" w:pos="2509"/>
              </w:tabs>
              <w:autoSpaceDE w:val="0"/>
            </w:pPr>
            <w:r>
              <w:rPr>
                <w:rFonts w:ascii="Arial" w:eastAsia="Arial" w:hAnsi="Arial" w:cs="Arial"/>
                <w:sz w:val="20"/>
              </w:rPr>
              <w:t xml:space="preserve">Buchowski M., </w:t>
            </w:r>
            <w:r>
              <w:rPr>
                <w:rFonts w:ascii="Arial" w:eastAsia="Arial" w:hAnsi="Arial" w:cs="Arial"/>
                <w:i/>
                <w:sz w:val="20"/>
              </w:rPr>
              <w:t>O założeniach interpretacji antropologicznej</w:t>
            </w:r>
          </w:p>
          <w:p w:rsidR="00852C8C" w:rsidRDefault="00D860CC">
            <w:pPr>
              <w:numPr>
                <w:ilvl w:val="0"/>
                <w:numId w:val="3"/>
              </w:numPr>
              <w:tabs>
                <w:tab w:val="left" w:pos="2509"/>
              </w:tabs>
              <w:autoSpaceDE w:val="0"/>
            </w:pPr>
            <w:r>
              <w:rPr>
                <w:rFonts w:ascii="Arial" w:eastAsia="Arial" w:hAnsi="Arial" w:cs="Arial"/>
                <w:sz w:val="20"/>
              </w:rPr>
              <w:t xml:space="preserve">Buchowski M., </w:t>
            </w:r>
            <w:r>
              <w:rPr>
                <w:rFonts w:ascii="Arial" w:eastAsia="Arial" w:hAnsi="Arial" w:cs="Arial"/>
                <w:i/>
                <w:sz w:val="20"/>
              </w:rPr>
              <w:t>Zrozumieć innego. Antropologia racjonalności</w:t>
            </w:r>
          </w:p>
          <w:p w:rsidR="00852C8C" w:rsidRDefault="00D860CC">
            <w:pPr>
              <w:numPr>
                <w:ilvl w:val="0"/>
                <w:numId w:val="3"/>
              </w:numPr>
              <w:tabs>
                <w:tab w:val="left" w:pos="2509"/>
              </w:tabs>
              <w:autoSpaceDE w:val="0"/>
            </w:pPr>
            <w:r>
              <w:rPr>
                <w:rFonts w:ascii="Arial" w:eastAsia="Arial" w:hAnsi="Arial" w:cs="Arial"/>
                <w:sz w:val="20"/>
              </w:rPr>
              <w:t xml:space="preserve">Goffmann E.,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 Człowiek w teatrze życia codziennego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  <w:p w:rsidR="00852C8C" w:rsidRDefault="00D860CC">
            <w:pPr>
              <w:numPr>
                <w:ilvl w:val="0"/>
                <w:numId w:val="3"/>
              </w:numPr>
              <w:tabs>
                <w:tab w:val="left" w:pos="2509"/>
              </w:tabs>
              <w:autoSpaceDE w:val="0"/>
            </w:pPr>
            <w:r>
              <w:rPr>
                <w:rFonts w:ascii="Arial" w:eastAsia="Arial" w:hAnsi="Arial" w:cs="Arial"/>
                <w:sz w:val="20"/>
              </w:rPr>
              <w:t xml:space="preserve">Goffmann E., </w:t>
            </w:r>
            <w:r>
              <w:rPr>
                <w:rFonts w:ascii="Arial" w:eastAsia="Arial" w:hAnsi="Arial" w:cs="Arial"/>
                <w:i/>
                <w:sz w:val="20"/>
              </w:rPr>
              <w:t>Piętno. Esej o zranionej tożsamości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  <w:p w:rsidR="00852C8C" w:rsidRDefault="00D860CC">
            <w:pPr>
              <w:numPr>
                <w:ilvl w:val="0"/>
                <w:numId w:val="3"/>
              </w:numPr>
              <w:tabs>
                <w:tab w:val="left" w:pos="2509"/>
              </w:tabs>
              <w:autoSpaceDE w:val="0"/>
            </w:pPr>
            <w:r>
              <w:rPr>
                <w:rFonts w:ascii="Arial" w:eastAsia="Arial" w:hAnsi="Arial" w:cs="Arial"/>
                <w:sz w:val="20"/>
              </w:rPr>
              <w:t xml:space="preserve">Gray J. </w:t>
            </w:r>
            <w:r>
              <w:rPr>
                <w:rFonts w:ascii="Arial" w:eastAsia="Arial" w:hAnsi="Arial" w:cs="Arial"/>
                <w:i/>
                <w:sz w:val="20"/>
              </w:rPr>
              <w:t>Słomiane psy.</w:t>
            </w:r>
          </w:p>
          <w:p w:rsidR="00852C8C" w:rsidRDefault="00D860CC">
            <w:pPr>
              <w:numPr>
                <w:ilvl w:val="0"/>
                <w:numId w:val="3"/>
              </w:numPr>
              <w:tabs>
                <w:tab w:val="left" w:pos="2509"/>
              </w:tabs>
              <w:autoSpaceDE w:val="0"/>
            </w:pPr>
            <w:r>
              <w:rPr>
                <w:rFonts w:ascii="Arial" w:eastAsia="Arial" w:hAnsi="Arial" w:cs="Arial"/>
                <w:sz w:val="20"/>
              </w:rPr>
              <w:t xml:space="preserve">Winkin Y., </w:t>
            </w:r>
            <w:r>
              <w:rPr>
                <w:rFonts w:ascii="Arial" w:eastAsia="Arial" w:hAnsi="Arial" w:cs="Arial"/>
                <w:i/>
                <w:sz w:val="20"/>
              </w:rPr>
              <w:t>An</w:t>
            </w:r>
            <w:r>
              <w:rPr>
                <w:rFonts w:ascii="Arial" w:eastAsia="Arial" w:hAnsi="Arial" w:cs="Arial"/>
                <w:i/>
                <w:sz w:val="20"/>
              </w:rPr>
              <w:t>tropologia komunikacji: od teorii do badań terenowych.</w:t>
            </w:r>
          </w:p>
          <w:p w:rsidR="00852C8C" w:rsidRDefault="00D860CC">
            <w:pPr>
              <w:numPr>
                <w:ilvl w:val="0"/>
                <w:numId w:val="3"/>
              </w:numPr>
              <w:tabs>
                <w:tab w:val="left" w:pos="2509"/>
              </w:tabs>
              <w:autoSpaceDE w:val="0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Berger P.L., Luckmann Th., </w:t>
            </w:r>
            <w:r>
              <w:rPr>
                <w:rFonts w:ascii="Arial" w:eastAsia="Arial" w:hAnsi="Arial" w:cs="Arial"/>
                <w:i/>
                <w:sz w:val="20"/>
              </w:rPr>
              <w:t>Społeczne tworzenie rzeczywistości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  <w:p w:rsidR="00852C8C" w:rsidRDefault="00D860CC">
            <w:pPr>
              <w:numPr>
                <w:ilvl w:val="0"/>
                <w:numId w:val="3"/>
              </w:numPr>
              <w:tabs>
                <w:tab w:val="left" w:pos="2509"/>
              </w:tabs>
              <w:autoSpaceDE w:val="0"/>
            </w:pPr>
            <w:r>
              <w:rPr>
                <w:rFonts w:ascii="Arial" w:eastAsia="Arial" w:hAnsi="Arial" w:cs="Arial"/>
                <w:sz w:val="20"/>
              </w:rPr>
              <w:t xml:space="preserve">Turner V., Bruner E.M., </w:t>
            </w:r>
            <w:r>
              <w:rPr>
                <w:rFonts w:ascii="Arial" w:eastAsia="Arial" w:hAnsi="Arial" w:cs="Arial"/>
                <w:i/>
                <w:sz w:val="20"/>
              </w:rPr>
              <w:t>Antropologia doświadczednia z epilogiem Clifforda Geertza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  <w:p w:rsidR="00852C8C" w:rsidRDefault="00D860CC">
            <w:pPr>
              <w:numPr>
                <w:ilvl w:val="0"/>
                <w:numId w:val="3"/>
              </w:numPr>
              <w:tabs>
                <w:tab w:val="left" w:pos="2509"/>
              </w:tabs>
              <w:autoSpaceDE w:val="0"/>
            </w:pPr>
            <w:r>
              <w:rPr>
                <w:rFonts w:ascii="Arial" w:eastAsia="Arial" w:hAnsi="Arial" w:cs="Arial"/>
                <w:sz w:val="20"/>
              </w:rPr>
              <w:t xml:space="preserve">Tokarska – Bakir J., </w:t>
            </w:r>
            <w:r>
              <w:rPr>
                <w:rFonts w:ascii="Arial" w:eastAsia="Arial" w:hAnsi="Arial" w:cs="Arial"/>
                <w:i/>
                <w:sz w:val="20"/>
              </w:rPr>
              <w:t>Rzeczy mgliste</w:t>
            </w:r>
            <w:r>
              <w:rPr>
                <w:rFonts w:ascii="Arial" w:eastAsia="Arial" w:hAnsi="Arial" w:cs="Arial"/>
                <w:sz w:val="20"/>
              </w:rPr>
              <w:t>, s. 95 – 115; 168 –</w:t>
            </w:r>
            <w:r>
              <w:rPr>
                <w:rFonts w:ascii="Arial" w:eastAsia="Arial" w:hAnsi="Arial" w:cs="Arial"/>
                <w:sz w:val="20"/>
              </w:rPr>
              <w:t xml:space="preserve"> 190; 210 – 216.</w:t>
            </w:r>
          </w:p>
          <w:p w:rsidR="00852C8C" w:rsidRDefault="00D860CC">
            <w:pPr>
              <w:numPr>
                <w:ilvl w:val="0"/>
                <w:numId w:val="3"/>
              </w:numPr>
              <w:tabs>
                <w:tab w:val="left" w:pos="2509"/>
              </w:tabs>
              <w:autoSpaceDE w:val="0"/>
            </w:pPr>
            <w:r>
              <w:rPr>
                <w:rFonts w:ascii="Arial" w:eastAsia="Arial" w:hAnsi="Arial" w:cs="Arial"/>
                <w:sz w:val="20"/>
              </w:rPr>
              <w:t xml:space="preserve">Jahoda G., </w:t>
            </w:r>
            <w:r>
              <w:rPr>
                <w:rFonts w:ascii="Arial" w:eastAsia="Arial" w:hAnsi="Arial" w:cs="Arial"/>
                <w:i/>
                <w:sz w:val="20"/>
              </w:rPr>
              <w:t>Psychologia przesądu</w:t>
            </w:r>
            <w:r>
              <w:rPr>
                <w:rFonts w:ascii="Arial" w:eastAsia="Arial" w:hAnsi="Arial" w:cs="Arial"/>
                <w:sz w:val="20"/>
              </w:rPr>
              <w:t>, r. IV, r. VI – X.</w:t>
            </w:r>
          </w:p>
          <w:p w:rsidR="00852C8C" w:rsidRDefault="00D860CC">
            <w:pPr>
              <w:numPr>
                <w:ilvl w:val="0"/>
                <w:numId w:val="3"/>
              </w:numPr>
              <w:tabs>
                <w:tab w:val="left" w:pos="2509"/>
              </w:tabs>
              <w:autoSpaceDE w:val="0"/>
            </w:pPr>
            <w:r>
              <w:rPr>
                <w:rFonts w:ascii="Arial" w:eastAsia="Arial" w:hAnsi="Arial" w:cs="Arial"/>
                <w:sz w:val="20"/>
              </w:rPr>
              <w:t xml:space="preserve">Xxxxx, </w:t>
            </w:r>
            <w:r>
              <w:rPr>
                <w:rFonts w:ascii="Arial" w:eastAsia="Arial" w:hAnsi="Arial" w:cs="Arial"/>
                <w:i/>
                <w:sz w:val="20"/>
              </w:rPr>
              <w:t>Psychologia plotki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  <w:p w:rsidR="00852C8C" w:rsidRDefault="00D860CC">
            <w:pPr>
              <w:numPr>
                <w:ilvl w:val="0"/>
                <w:numId w:val="3"/>
              </w:numPr>
              <w:tabs>
                <w:tab w:val="left" w:pos="2509"/>
              </w:tabs>
              <w:autoSpaceDE w:val="0"/>
            </w:pPr>
            <w:r>
              <w:rPr>
                <w:rFonts w:ascii="Arial" w:eastAsia="Arial" w:hAnsi="Arial" w:cs="Arial"/>
                <w:sz w:val="20"/>
              </w:rPr>
              <w:t xml:space="preserve">Eco U., </w:t>
            </w:r>
            <w:r>
              <w:rPr>
                <w:rFonts w:ascii="Arial" w:eastAsia="Arial" w:hAnsi="Arial" w:cs="Arial"/>
                <w:i/>
                <w:sz w:val="20"/>
              </w:rPr>
              <w:t>Semiotyka życia codziennego.</w:t>
            </w:r>
          </w:p>
          <w:p w:rsidR="00852C8C" w:rsidRDefault="00D860CC">
            <w:pPr>
              <w:numPr>
                <w:ilvl w:val="0"/>
                <w:numId w:val="3"/>
              </w:numPr>
              <w:tabs>
                <w:tab w:val="left" w:pos="2509"/>
              </w:tabs>
              <w:autoSpaceDE w:val="0"/>
            </w:pPr>
            <w:r>
              <w:rPr>
                <w:rFonts w:ascii="Arial" w:eastAsia="Arial" w:hAnsi="Arial" w:cs="Arial"/>
                <w:sz w:val="20"/>
              </w:rPr>
              <w:t xml:space="preserve">Žižek S.,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Cztery dyskursy, cztery podmioty </w:t>
            </w:r>
            <w:r>
              <w:rPr>
                <w:rFonts w:ascii="Arial" w:eastAsia="Arial" w:hAnsi="Arial" w:cs="Arial"/>
                <w:sz w:val="20"/>
              </w:rPr>
              <w:t>(w:) Żiżek, Przewodnik “Krytyki Politycznej”.</w:t>
            </w:r>
          </w:p>
          <w:p w:rsidR="00852C8C" w:rsidRDefault="00D860CC">
            <w:pPr>
              <w:numPr>
                <w:ilvl w:val="0"/>
                <w:numId w:val="3"/>
              </w:numPr>
              <w:tabs>
                <w:tab w:val="left" w:pos="3229"/>
              </w:tabs>
              <w:autoSpaceDE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" w:eastAsia="Arial" w:hAnsi="Arial" w:cs="Arial"/>
                <w:i/>
                <w:sz w:val="20"/>
                <w:szCs w:val="24"/>
              </w:rPr>
              <w:t>Żiżek S., Przekleństwo fantazji, r.</w:t>
            </w:r>
            <w:r>
              <w:rPr>
                <w:rFonts w:ascii="Arial" w:eastAsia="Arial" w:hAnsi="Arial" w:cs="Arial"/>
                <w:i/>
                <w:sz w:val="20"/>
                <w:szCs w:val="24"/>
              </w:rPr>
              <w:t xml:space="preserve"> I, r. III – IV</w:t>
            </w:r>
            <w:r>
              <w:rPr>
                <w:rFonts w:ascii="Arial" w:eastAsia="Arial" w:hAnsi="Arial" w:cs="Arial"/>
                <w:sz w:val="20"/>
                <w:szCs w:val="24"/>
              </w:rPr>
              <w:t>.</w:t>
            </w:r>
          </w:p>
          <w:p w:rsidR="00852C8C" w:rsidRDefault="00852C8C">
            <w:pPr>
              <w:pStyle w:val="Punktygwne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  <w:p w:rsidR="00852C8C" w:rsidRDefault="00852C8C">
            <w:pPr>
              <w:pStyle w:val="Punktygwne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</w:tc>
      </w:tr>
      <w:tr w:rsidR="00852C8C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2C8C" w:rsidRDefault="00D860C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852C8C" w:rsidRDefault="00852C8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852C8C" w:rsidRDefault="00D860C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tradycyjne i multimedialne materiały pomocnicze udostępniane wedle potrzeb na platformie edukacyjnej online</w:t>
            </w:r>
          </w:p>
        </w:tc>
      </w:tr>
    </w:tbl>
    <w:p w:rsidR="00852C8C" w:rsidRDefault="00852C8C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852C8C" w:rsidRDefault="00852C8C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852C8C" w:rsidRDefault="00D860CC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852C8C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0CC" w:rsidRDefault="00D860CC">
      <w:pPr>
        <w:spacing w:after="0" w:line="240" w:lineRule="auto"/>
      </w:pPr>
      <w:r>
        <w:separator/>
      </w:r>
    </w:p>
  </w:endnote>
  <w:endnote w:type="continuationSeparator" w:id="0">
    <w:p w:rsidR="00D860CC" w:rsidRDefault="00D8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0CC" w:rsidRDefault="00D860CC">
      <w:r>
        <w:separator/>
      </w:r>
    </w:p>
  </w:footnote>
  <w:footnote w:type="continuationSeparator" w:id="0">
    <w:p w:rsidR="00D860CC" w:rsidRDefault="00D860CC">
      <w:r>
        <w:continuationSeparator/>
      </w:r>
    </w:p>
  </w:footnote>
  <w:footnote w:id="1">
    <w:p w:rsidR="00852C8C" w:rsidRDefault="00D860CC">
      <w:pPr>
        <w:rPr>
          <w:rStyle w:val="FootnoteCharacters"/>
          <w:rFonts w:ascii="Corbel" w:hAnsi="Corbel" w:cs="Corbel"/>
        </w:rPr>
      </w:pPr>
      <w:r>
        <w:rPr>
          <w:rStyle w:val="FootnoteCharacters"/>
        </w:rPr>
        <w:footnoteRef/>
      </w:r>
      <w:r>
        <w:br w:type="page"/>
      </w:r>
    </w:p>
    <w:p w:rsidR="00852C8C" w:rsidRDefault="00D860CC">
      <w:pPr>
        <w:pStyle w:val="Tekstprzypisudolnego"/>
      </w:pP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840"/>
    <w:multiLevelType w:val="multilevel"/>
    <w:tmpl w:val="EBCCB0C2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FC623A"/>
    <w:multiLevelType w:val="multilevel"/>
    <w:tmpl w:val="1A6281B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F7F3751"/>
    <w:multiLevelType w:val="multilevel"/>
    <w:tmpl w:val="C02C0D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607F4234"/>
    <w:multiLevelType w:val="multilevel"/>
    <w:tmpl w:val="094AA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i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C8C"/>
    <w:rsid w:val="00310A53"/>
    <w:rsid w:val="00852C8C"/>
    <w:rsid w:val="00D86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FBFAD"/>
  <w15:docId w15:val="{4881C8C3-7D57-4A6F-908C-3B4641C12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" w:hAnsi="Liberation Serif" w:cs="Lohit Devanagari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TytuZnak">
    <w:name w:val="Tytuł Znak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qFormat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qFormat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qFormat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  <w:qFormat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EndnoteCharacters">
    <w:name w:val="WW-Endnote Characters"/>
    <w:qFormat/>
  </w:style>
  <w:style w:type="character" w:customStyle="1" w:styleId="ListLabel1">
    <w:name w:val="ListLabel 1"/>
    <w:qFormat/>
    <w:rPr>
      <w:rFonts w:ascii="Arial CE" w:eastAsia="Arial CE" w:hAnsi="Arial CE" w:cs="Arial CE"/>
      <w:b w:val="0"/>
      <w:bCs w:val="0"/>
      <w:sz w:val="20"/>
      <w:szCs w:val="20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WW8Num5z0">
    <w:name w:val="WW8Num5z0"/>
    <w:qFormat/>
  </w:style>
  <w:style w:type="character" w:customStyle="1" w:styleId="WW8Num3z0">
    <w:name w:val="WW8Num3z0"/>
    <w:qFormat/>
    <w:rPr>
      <w:rFonts w:ascii="Arial" w:eastAsia="Arial" w:hAnsi="Arial" w:cs="Arial"/>
      <w:i/>
      <w:sz w:val="2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;Arial" w:eastAsia="Noto Sans CJK SC" w:hAnsi="Liberation Sans;Arial" w:cs="Lohit Devanagar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ytu">
    <w:name w:val="Title"/>
    <w:basedOn w:val="Normalny"/>
    <w:next w:val="Tekstpodstawowy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pPr>
      <w:suppressAutoHyphens/>
    </w:pPr>
    <w:rPr>
      <w:rFonts w:ascii="Arial" w:eastAsia="Calibri" w:hAnsi="Arial" w:cs="Arial"/>
      <w:color w:val="000000"/>
      <w:lang w:eastAsia="en-US" w:bidi="ar-SA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pPr>
      <w:suppressAutoHyphens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1134</Words>
  <Characters>6805</Characters>
  <Application>Microsoft Office Word</Application>
  <DocSecurity>0</DocSecurity>
  <Lines>56</Lines>
  <Paragraphs>15</Paragraphs>
  <ScaleCrop>false</ScaleCrop>
  <Company>Hewlett-Packard Company</Company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Użytkownik systemu Windows</cp:lastModifiedBy>
  <cp:revision>8</cp:revision>
  <cp:lastPrinted>2019-02-06T12:12:00Z</cp:lastPrinted>
  <dcterms:created xsi:type="dcterms:W3CDTF">2023-10-02T12:20:00Z</dcterms:created>
  <dcterms:modified xsi:type="dcterms:W3CDTF">2024-08-12T06:33:00Z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